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E6FD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1E6FD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1E6FD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AD362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F93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37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t xml:space="preserve"> 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обращений и запросов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</w:t>
      </w:r>
      <w:r w:rsidR="004919B5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1E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устных обращений на личных приемах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области, заместителей </w:t>
      </w:r>
      <w:proofErr w:type="gramStart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Татарска Татарского района Новосибирской области</w:t>
      </w:r>
      <w:proofErr w:type="gramEnd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города Татарска Татарского района Новосибирской</w:t>
      </w:r>
      <w:r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64944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1E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 w:rsid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устных запросов информации и сообщений на справочный телефон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3298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2D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647AFD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76A94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591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8D0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специалисту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1E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8D0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B9579F" w:rsidRDefault="00B957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79F" w:rsidRDefault="00377108" w:rsidP="00B9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="00F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52E52" w:rsidRP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кварталом</w:t>
      </w:r>
      <w:r w:rsidR="00F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E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у</w:t>
      </w:r>
      <w:r w:rsidR="008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="001B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79F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0A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8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0A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по сравнению с</w:t>
      </w:r>
      <w:r w:rsidR="001E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кварталом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8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8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8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DC7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9F" w:rsidRDefault="0024124E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BEBBB5" wp14:editId="4766D694">
            <wp:extent cx="6096000" cy="33680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79F" w:rsidRPr="00387A23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обращениях, запросах и сообщениях содержится </w:t>
      </w:r>
      <w:r w:rsidR="001B018D" w:rsidRPr="006333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863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67</w:t>
      </w:r>
      <w:r w:rsidR="00ED5D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33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вопроса,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относящихся к тематическим разделам:</w:t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E6FD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1E6FD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1E6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1E6FD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ED5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733ED5" w:rsidRPr="00CD50BA" w:rsidRDefault="00733ED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33ED5" w:rsidRPr="00CD50BA" w:rsidRDefault="00733ED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863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</w:t>
            </w:r>
            <w:r w:rsidR="0086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33ED5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863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6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(4 %)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733ED5" w:rsidRPr="00DE5C7F" w:rsidRDefault="00E434A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73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(56 %)</w:t>
            </w:r>
          </w:p>
        </w:tc>
        <w:tc>
          <w:tcPr>
            <w:tcW w:w="1349" w:type="dxa"/>
          </w:tcPr>
          <w:p w:rsidR="00733ED5" w:rsidRPr="00DE5C7F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(11 %)</w:t>
            </w:r>
          </w:p>
        </w:tc>
        <w:tc>
          <w:tcPr>
            <w:tcW w:w="1349" w:type="dxa"/>
          </w:tcPr>
          <w:p w:rsidR="00733ED5" w:rsidRPr="00DE5C7F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73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6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73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 (85 %)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733ED5" w:rsidRPr="001B076B" w:rsidRDefault="00733ED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33ED5" w:rsidRPr="001B076B" w:rsidRDefault="00733ED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733ED5" w:rsidRPr="001B076B" w:rsidRDefault="00733ED5" w:rsidP="00E43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3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33ED5" w:rsidRPr="001B076B" w:rsidRDefault="00733ED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733ED5" w:rsidRPr="001B076B" w:rsidRDefault="00E434A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733ED5" w:rsidRPr="001B076B" w:rsidRDefault="00733ED5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33ED5" w:rsidRPr="001B076B" w:rsidTr="00833EAA">
        <w:tc>
          <w:tcPr>
            <w:tcW w:w="764" w:type="dxa"/>
          </w:tcPr>
          <w:p w:rsidR="00733ED5" w:rsidRPr="001B076B" w:rsidRDefault="00733ED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33ED5" w:rsidRPr="00C570D7" w:rsidRDefault="00733ED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733ED5" w:rsidRPr="0068402E" w:rsidRDefault="00733ED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733ED5" w:rsidRDefault="00733ED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ЛДПР</w:t>
            </w:r>
          </w:p>
          <w:p w:rsidR="00733ED5" w:rsidRDefault="00733ED5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733ED5" w:rsidRPr="00B801D1" w:rsidRDefault="00733ED5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МКУ И-МЦ Татарского района</w:t>
            </w:r>
          </w:p>
        </w:tc>
        <w:tc>
          <w:tcPr>
            <w:tcW w:w="1349" w:type="dxa"/>
          </w:tcPr>
          <w:p w:rsidR="00733ED5" w:rsidRPr="00BF6020" w:rsidRDefault="00733ED5" w:rsidP="00733ED5">
            <w:pPr>
              <w:tabs>
                <w:tab w:val="left" w:pos="432"/>
                <w:tab w:val="center" w:pos="566"/>
                <w:tab w:val="left" w:pos="6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  <w:t>68</w:t>
            </w:r>
          </w:p>
          <w:p w:rsidR="00733ED5" w:rsidRDefault="00733ED5" w:rsidP="004F1A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E70A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33ED5" w:rsidRDefault="00E70A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E70A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Pr="00CC6A50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33ED5" w:rsidRPr="00BF6020" w:rsidRDefault="00733ED5" w:rsidP="004F1A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733ED5" w:rsidRDefault="00733ED5" w:rsidP="004F1A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Pr="00CC6A50" w:rsidRDefault="00733ED5" w:rsidP="008D0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49" w:type="dxa"/>
          </w:tcPr>
          <w:p w:rsidR="00733ED5" w:rsidRPr="00BF6020" w:rsidRDefault="00733ED5" w:rsidP="004F1A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733ED5" w:rsidRDefault="00733ED5" w:rsidP="004F1A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ED5" w:rsidRPr="00CC6A50" w:rsidRDefault="00733ED5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24124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C99873" wp14:editId="36181288">
            <wp:extent cx="5814060" cy="32537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вопросов, содержащихся в обращениях, поступивших в</w:t>
      </w:r>
      <w:r w:rsidR="001E6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E6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F52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квартале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3C5B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56B4" w:rsidRPr="00DB5560" w:rsidRDefault="0024124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8E6097" wp14:editId="48D236BB">
            <wp:extent cx="5303520" cy="32156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62A2D" w:rsidRDefault="00162A2D" w:rsidP="00ED5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63A68" w:rsidRDefault="00863A68" w:rsidP="00ED5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9F" w:rsidRDefault="0024124E" w:rsidP="0099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068896" wp14:editId="11B2B61E">
            <wp:extent cx="5684520" cy="33604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69CD" w:rsidRDefault="009969CD" w:rsidP="0099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9F" w:rsidRDefault="00B9579F" w:rsidP="00B95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B9579F" w:rsidRPr="00D76EB8" w:rsidRDefault="00B9579F" w:rsidP="00B9579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B9579F" w:rsidTr="001279A9">
        <w:tc>
          <w:tcPr>
            <w:tcW w:w="2676" w:type="dxa"/>
          </w:tcPr>
          <w:p w:rsidR="00B9579F" w:rsidRDefault="00B9579F" w:rsidP="001279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B9579F" w:rsidRDefault="001E6FD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dxa"/>
          </w:tcPr>
          <w:p w:rsidR="00B9579F" w:rsidRDefault="001E6FD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1E6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dxa"/>
          </w:tcPr>
          <w:p w:rsidR="00B9579F" w:rsidRDefault="001E6FD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6FD6" w:rsidTr="001279A9">
        <w:tc>
          <w:tcPr>
            <w:tcW w:w="2676" w:type="dxa"/>
          </w:tcPr>
          <w:p w:rsidR="001E6FD6" w:rsidRPr="0039518B" w:rsidRDefault="001E6FD6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1E6FD6" w:rsidRPr="00AC3101" w:rsidRDefault="00A55220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76" w:type="dxa"/>
          </w:tcPr>
          <w:p w:rsidR="001E6FD6" w:rsidRPr="00AC3101" w:rsidRDefault="001E6FD6" w:rsidP="004F1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76" w:type="dxa"/>
          </w:tcPr>
          <w:p w:rsidR="001E6FD6" w:rsidRPr="00AC3101" w:rsidRDefault="001E6FD6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1E6FD6" w:rsidTr="001279A9">
        <w:tc>
          <w:tcPr>
            <w:tcW w:w="2676" w:type="dxa"/>
          </w:tcPr>
          <w:p w:rsidR="001E6FD6" w:rsidRPr="0039518B" w:rsidRDefault="001E6FD6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1E6FD6" w:rsidRPr="0039518B" w:rsidRDefault="00A55220" w:rsidP="00A5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1E6FD6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FD6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E6FD6" w:rsidRPr="0039518B" w:rsidRDefault="001E6F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E6FD6" w:rsidRPr="0039518B" w:rsidRDefault="001E6FD6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E6FD6" w:rsidTr="001279A9">
        <w:tc>
          <w:tcPr>
            <w:tcW w:w="2676" w:type="dxa"/>
          </w:tcPr>
          <w:p w:rsidR="001E6FD6" w:rsidRPr="0039518B" w:rsidRDefault="001E6FD6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1E6FD6" w:rsidRPr="0039518B" w:rsidRDefault="001E6FD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E6FD6" w:rsidRPr="0039518B" w:rsidRDefault="001E6F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E6FD6" w:rsidRPr="0039518B" w:rsidRDefault="001E6FD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6FD6" w:rsidTr="001279A9">
        <w:tc>
          <w:tcPr>
            <w:tcW w:w="2676" w:type="dxa"/>
          </w:tcPr>
          <w:p w:rsidR="001E6FD6" w:rsidRPr="0039518B" w:rsidRDefault="001E6FD6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1E6FD6" w:rsidRPr="0039518B" w:rsidRDefault="00A55220" w:rsidP="00A5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FD6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E6FD6" w:rsidRPr="0039518B" w:rsidRDefault="001E6F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E6FD6" w:rsidRPr="0039518B" w:rsidRDefault="001E6FD6" w:rsidP="004C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1E6FD6" w:rsidTr="001279A9">
        <w:tc>
          <w:tcPr>
            <w:tcW w:w="2676" w:type="dxa"/>
          </w:tcPr>
          <w:p w:rsidR="001E6FD6" w:rsidRPr="0039518B" w:rsidRDefault="001E6FD6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1E6FD6" w:rsidRPr="0039518B" w:rsidRDefault="001E6FD6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676" w:type="dxa"/>
          </w:tcPr>
          <w:p w:rsidR="001E6FD6" w:rsidRPr="0039518B" w:rsidRDefault="001E6FD6" w:rsidP="004F1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676" w:type="dxa"/>
          </w:tcPr>
          <w:p w:rsidR="001E6FD6" w:rsidRPr="0039518B" w:rsidRDefault="001E6FD6" w:rsidP="004C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54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C31" w:rsidRPr="00EA4C31" w:rsidRDefault="00376237" w:rsidP="000F5742">
      <w:pPr>
        <w:spacing w:after="0" w:line="240" w:lineRule="auto"/>
        <w:jc w:val="both"/>
        <w:rPr>
          <w:noProof/>
          <w:lang w:eastAsia="ru-RU"/>
        </w:rPr>
      </w:pPr>
      <w:r w:rsidRPr="00376237">
        <w:rPr>
          <w:noProof/>
          <w:lang w:eastAsia="ru-RU"/>
        </w:rPr>
        <w:t xml:space="preserve"> </w:t>
      </w:r>
      <w:r w:rsidR="0024124E">
        <w:rPr>
          <w:noProof/>
          <w:lang w:eastAsia="ru-RU"/>
        </w:rPr>
        <w:drawing>
          <wp:inline distT="0" distB="0" distL="0" distR="0" wp14:anchorId="108AC5C9" wp14:editId="36D269CA">
            <wp:extent cx="5878830" cy="3337559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18E8" w:rsidRDefault="0024124E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374C18" wp14:editId="520A9E19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5339" w:rsidRDefault="004B5339" w:rsidP="001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55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C5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7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2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522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E6FD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E6FD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0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1E6F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6F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9CD" w:rsidRDefault="009969C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9969C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BD2BC53" wp14:editId="5E8FC665">
            <wp:extent cx="6067425" cy="3968115"/>
            <wp:effectExtent l="0" t="0" r="952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2D" w:rsidRDefault="00162A2D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39" w:rsidRDefault="009969CD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054AD0" wp14:editId="617944EB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9969CD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D1" w:rsidRDefault="005C64D1" w:rsidP="00C65E22">
      <w:pPr>
        <w:spacing w:after="0" w:line="240" w:lineRule="auto"/>
      </w:pPr>
      <w:r>
        <w:separator/>
      </w:r>
    </w:p>
  </w:endnote>
  <w:endnote w:type="continuationSeparator" w:id="0">
    <w:p w:rsidR="005C64D1" w:rsidRDefault="005C64D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D1" w:rsidRDefault="005C64D1" w:rsidP="00C65E22">
      <w:pPr>
        <w:spacing w:after="0" w:line="240" w:lineRule="auto"/>
      </w:pPr>
      <w:r>
        <w:separator/>
      </w:r>
    </w:p>
  </w:footnote>
  <w:footnote w:type="continuationSeparator" w:id="0">
    <w:p w:rsidR="005C64D1" w:rsidRDefault="005C64D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1CE0"/>
    <w:rsid w:val="000627FD"/>
    <w:rsid w:val="0006326F"/>
    <w:rsid w:val="0007006C"/>
    <w:rsid w:val="00071BDE"/>
    <w:rsid w:val="00074950"/>
    <w:rsid w:val="00074AEE"/>
    <w:rsid w:val="000807F3"/>
    <w:rsid w:val="0008136D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28ED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279F0"/>
    <w:rsid w:val="0013250C"/>
    <w:rsid w:val="00132D8A"/>
    <w:rsid w:val="001330CD"/>
    <w:rsid w:val="00133D49"/>
    <w:rsid w:val="001343A9"/>
    <w:rsid w:val="00135C31"/>
    <w:rsid w:val="001375F6"/>
    <w:rsid w:val="001438C9"/>
    <w:rsid w:val="00144930"/>
    <w:rsid w:val="00162A2D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18D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E6FD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124E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23F91"/>
    <w:rsid w:val="00331C07"/>
    <w:rsid w:val="00335515"/>
    <w:rsid w:val="00341E8C"/>
    <w:rsid w:val="00342858"/>
    <w:rsid w:val="00343D99"/>
    <w:rsid w:val="00344589"/>
    <w:rsid w:val="0034551C"/>
    <w:rsid w:val="00345888"/>
    <w:rsid w:val="00345C25"/>
    <w:rsid w:val="00353050"/>
    <w:rsid w:val="00354023"/>
    <w:rsid w:val="0036430E"/>
    <w:rsid w:val="00364944"/>
    <w:rsid w:val="00365497"/>
    <w:rsid w:val="00367C97"/>
    <w:rsid w:val="00370681"/>
    <w:rsid w:val="0037411E"/>
    <w:rsid w:val="00375C34"/>
    <w:rsid w:val="00376237"/>
    <w:rsid w:val="003767AF"/>
    <w:rsid w:val="00377108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C5BD7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8E6"/>
    <w:rsid w:val="00493F6E"/>
    <w:rsid w:val="00494A67"/>
    <w:rsid w:val="00496613"/>
    <w:rsid w:val="00496D8E"/>
    <w:rsid w:val="004A3CB4"/>
    <w:rsid w:val="004B0709"/>
    <w:rsid w:val="004B0C2A"/>
    <w:rsid w:val="004B34CD"/>
    <w:rsid w:val="004B5339"/>
    <w:rsid w:val="004B5EE7"/>
    <w:rsid w:val="004B6423"/>
    <w:rsid w:val="004C2C30"/>
    <w:rsid w:val="004C2E9F"/>
    <w:rsid w:val="004C6AA1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65B9"/>
    <w:rsid w:val="00517989"/>
    <w:rsid w:val="0052180A"/>
    <w:rsid w:val="005256A4"/>
    <w:rsid w:val="00530373"/>
    <w:rsid w:val="00530B15"/>
    <w:rsid w:val="005318B8"/>
    <w:rsid w:val="00532209"/>
    <w:rsid w:val="0054108C"/>
    <w:rsid w:val="00541CC3"/>
    <w:rsid w:val="0054308C"/>
    <w:rsid w:val="005441CA"/>
    <w:rsid w:val="00545BF6"/>
    <w:rsid w:val="005477E9"/>
    <w:rsid w:val="005530B1"/>
    <w:rsid w:val="00554667"/>
    <w:rsid w:val="005559F1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64D1"/>
    <w:rsid w:val="005C727F"/>
    <w:rsid w:val="005D0567"/>
    <w:rsid w:val="005D0CD5"/>
    <w:rsid w:val="005D0DEF"/>
    <w:rsid w:val="005D4A7F"/>
    <w:rsid w:val="005D4C0D"/>
    <w:rsid w:val="005D523D"/>
    <w:rsid w:val="005D58A4"/>
    <w:rsid w:val="005E2D71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6511"/>
    <w:rsid w:val="00607F12"/>
    <w:rsid w:val="00614615"/>
    <w:rsid w:val="006173C2"/>
    <w:rsid w:val="006178E6"/>
    <w:rsid w:val="00620912"/>
    <w:rsid w:val="0062172C"/>
    <w:rsid w:val="00623C34"/>
    <w:rsid w:val="00625EF0"/>
    <w:rsid w:val="00633378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77638"/>
    <w:rsid w:val="006832F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6F766B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3ED5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3902"/>
    <w:rsid w:val="00854DAD"/>
    <w:rsid w:val="00857001"/>
    <w:rsid w:val="0085790B"/>
    <w:rsid w:val="00861FC7"/>
    <w:rsid w:val="00862A3B"/>
    <w:rsid w:val="00863A68"/>
    <w:rsid w:val="00864214"/>
    <w:rsid w:val="00867F5E"/>
    <w:rsid w:val="00870227"/>
    <w:rsid w:val="00870EE4"/>
    <w:rsid w:val="00873AB3"/>
    <w:rsid w:val="008751D0"/>
    <w:rsid w:val="0087725E"/>
    <w:rsid w:val="00880804"/>
    <w:rsid w:val="00881E20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870"/>
    <w:rsid w:val="008B7ACF"/>
    <w:rsid w:val="008C2AF0"/>
    <w:rsid w:val="008C39F2"/>
    <w:rsid w:val="008C41D3"/>
    <w:rsid w:val="008C56B4"/>
    <w:rsid w:val="008D0C4D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26DE8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969CD"/>
    <w:rsid w:val="009A0613"/>
    <w:rsid w:val="009A6DF0"/>
    <w:rsid w:val="009B452B"/>
    <w:rsid w:val="009B6C9B"/>
    <w:rsid w:val="009C0336"/>
    <w:rsid w:val="009C164A"/>
    <w:rsid w:val="009C16AF"/>
    <w:rsid w:val="009C47DE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220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827"/>
    <w:rsid w:val="00B23E04"/>
    <w:rsid w:val="00B23F8B"/>
    <w:rsid w:val="00B253F0"/>
    <w:rsid w:val="00B27BBA"/>
    <w:rsid w:val="00B33D12"/>
    <w:rsid w:val="00B35708"/>
    <w:rsid w:val="00B364F7"/>
    <w:rsid w:val="00B36B63"/>
    <w:rsid w:val="00B3790C"/>
    <w:rsid w:val="00B37915"/>
    <w:rsid w:val="00B41083"/>
    <w:rsid w:val="00B43883"/>
    <w:rsid w:val="00B475F9"/>
    <w:rsid w:val="00B51281"/>
    <w:rsid w:val="00B543B4"/>
    <w:rsid w:val="00B54494"/>
    <w:rsid w:val="00B56579"/>
    <w:rsid w:val="00B604BA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1422"/>
    <w:rsid w:val="00B9205B"/>
    <w:rsid w:val="00B92353"/>
    <w:rsid w:val="00B94BC4"/>
    <w:rsid w:val="00B9579F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537D"/>
    <w:rsid w:val="00BD635C"/>
    <w:rsid w:val="00BD7C85"/>
    <w:rsid w:val="00BE38CE"/>
    <w:rsid w:val="00BE4D4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70D6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50B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0390A"/>
    <w:rsid w:val="00D04F61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17E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C7196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34A5"/>
    <w:rsid w:val="00E47F0E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0AD6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4C31"/>
    <w:rsid w:val="00EA7896"/>
    <w:rsid w:val="00EB0BE6"/>
    <w:rsid w:val="00EB111B"/>
    <w:rsid w:val="00EC4952"/>
    <w:rsid w:val="00EC5FE1"/>
    <w:rsid w:val="00ED15CA"/>
    <w:rsid w:val="00ED2115"/>
    <w:rsid w:val="00ED2274"/>
    <w:rsid w:val="00ED24C0"/>
    <w:rsid w:val="00ED5DBE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2E52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87AE0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76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160</c:v>
                </c:pt>
                <c:pt idx="1">
                  <c:v>141</c:v>
                </c:pt>
                <c:pt idx="2">
                  <c:v>10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</c:v>
                </c:pt>
                <c:pt idx="1">
                  <c:v>74</c:v>
                </c:pt>
                <c:pt idx="2">
                  <c:v>12</c:v>
                </c:pt>
                <c:pt idx="3">
                  <c:v>1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</c:v>
                </c:pt>
                <c:pt idx="1">
                  <c:v>79</c:v>
                </c:pt>
                <c:pt idx="2">
                  <c:v>3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00106240"/>
        <c:axId val="256170176"/>
        <c:axId val="0"/>
      </c:bar3DChart>
      <c:catAx>
        <c:axId val="3001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6170176"/>
        <c:crosses val="autoZero"/>
        <c:auto val="1"/>
        <c:lblAlgn val="ctr"/>
        <c:lblOffset val="100"/>
        <c:noMultiLvlLbl val="0"/>
      </c:catAx>
      <c:valAx>
        <c:axId val="25617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0106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167</c:v>
                </c:pt>
                <c:pt idx="1">
                  <c:v>2</c:v>
                </c:pt>
                <c:pt idx="2">
                  <c:v>70</c:v>
                </c:pt>
                <c:pt idx="3">
                  <c:v>94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104</c:v>
                </c:pt>
                <c:pt idx="1">
                  <c:v>5</c:v>
                </c:pt>
                <c:pt idx="2">
                  <c:v>88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99</c:v>
                </c:pt>
                <c:pt idx="1">
                  <c:v>6</c:v>
                </c:pt>
                <c:pt idx="2">
                  <c:v>55</c:v>
                </c:pt>
                <c:pt idx="3">
                  <c:v>37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75635712"/>
        <c:axId val="304271296"/>
      </c:barChart>
      <c:catAx>
        <c:axId val="2756357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4271296"/>
        <c:crosses val="autoZero"/>
        <c:auto val="0"/>
        <c:lblAlgn val="ctr"/>
        <c:lblOffset val="100"/>
        <c:noMultiLvlLbl val="0"/>
      </c:catAx>
      <c:valAx>
        <c:axId val="304271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563571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t"/>
      <c:layout>
        <c:manualLayout>
          <c:xMode val="edge"/>
          <c:yMode val="edge"/>
          <c:x val="0.21800684956221478"/>
          <c:y val="7.5593952483801297E-2"/>
          <c:w val="0.56000144333422752"/>
          <c:h val="5.711070673401245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ln>
              <a:noFill/>
            </a:ln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Pt>
            <c:idx val="0"/>
            <c:bubble3D val="0"/>
            <c:spPr>
              <a:solidFill>
                <a:srgbClr val="25D707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0.14707703562916705"/>
                  <c:y val="-2.42141533256210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28328562916704375"/>
                  <c:y val="-2.576159022776181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3.8763311913596922E-2"/>
                  <c:y val="-6.1991703051336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</c:v>
                </c:pt>
                <c:pt idx="1">
                  <c:v>70</c:v>
                </c:pt>
                <c:pt idx="2">
                  <c:v>94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МКУ И-МЦ Татарского района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68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МКУ И-МЦ Татарского района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40</c:v>
                </c:pt>
                <c:pt idx="1">
                  <c:v>18</c:v>
                </c:pt>
                <c:pt idx="2">
                  <c:v>0</c:v>
                </c:pt>
                <c:pt idx="3">
                  <c:v>4</c:v>
                </c:pt>
                <c:pt idx="4">
                  <c:v>9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МКУ И-МЦ Татарского района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301946880"/>
        <c:axId val="387692736"/>
        <c:axId val="0"/>
      </c:bar3DChart>
      <c:catAx>
        <c:axId val="30194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692736"/>
        <c:crosses val="autoZero"/>
        <c:auto val="1"/>
        <c:lblAlgn val="ctr"/>
        <c:lblOffset val="100"/>
        <c:noMultiLvlLbl val="0"/>
      </c:catAx>
      <c:valAx>
        <c:axId val="387692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1946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882303111337339E-4"/>
                  <c:y val="-1.3550621876646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141</c:v>
                </c:pt>
                <c:pt idx="1">
                  <c:v>141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3504387777840147E-3"/>
                  <c:y val="6.6676574107004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791461906535032E-3"/>
                  <c:y val="6.951847143376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</c:v>
                </c:pt>
                <c:pt idx="1">
                  <c:v>73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066122000466079E-3"/>
                  <c:y val="7.40993642359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54158848"/>
        <c:axId val="257589824"/>
        <c:axId val="0"/>
      </c:bar3DChart>
      <c:catAx>
        <c:axId val="25415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257589824"/>
        <c:crosses val="autoZero"/>
        <c:auto val="1"/>
        <c:lblAlgn val="ctr"/>
        <c:lblOffset val="100"/>
        <c:noMultiLvlLbl val="0"/>
      </c:catAx>
      <c:valAx>
        <c:axId val="2575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58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2BF53E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FD23ED"/>
              </a:solidFill>
            </c:spPr>
          </c:dPt>
          <c:dLbls>
            <c:dLbl>
              <c:idx val="0"/>
              <c:layout>
                <c:manualLayout>
                  <c:x val="-5.5648950131233645E-2"/>
                  <c:y val="-0.28939596092155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3503258967629045"/>
                  <c:y val="4.65864683581218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9317782152230972"/>
                  <c:y val="-1.8449256342957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141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64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0</c:v>
                </c:pt>
                <c:pt idx="3">
                  <c:v>49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4159360"/>
        <c:axId val="257592704"/>
        <c:axId val="0"/>
      </c:bar3DChart>
      <c:catAx>
        <c:axId val="25415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592704"/>
        <c:crosses val="autoZero"/>
        <c:auto val="1"/>
        <c:lblAlgn val="ctr"/>
        <c:lblOffset val="100"/>
        <c:noMultiLvlLbl val="0"/>
      </c:catAx>
      <c:valAx>
        <c:axId val="257592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415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5CF42C"/>
              </a:solidFill>
            </c:spPr>
          </c:dPt>
          <c:dLbls>
            <c:dLbl>
              <c:idx val="2"/>
              <c:layout>
                <c:manualLayout>
                  <c:x val="-0.18725896762904637"/>
                  <c:y val="2.2598060659084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B18964-9364-42AF-9BB4-5A9DCCB1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221</cp:revision>
  <cp:lastPrinted>2024-09-12T09:02:00Z</cp:lastPrinted>
  <dcterms:created xsi:type="dcterms:W3CDTF">2018-06-01T07:29:00Z</dcterms:created>
  <dcterms:modified xsi:type="dcterms:W3CDTF">2024-10-14T08:45:00Z</dcterms:modified>
</cp:coreProperties>
</file>