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январь</w:t>
      </w:r>
      <w:r w:rsidR="0056654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декабрем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415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январем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2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6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1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2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5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6C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72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6C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6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1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6C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уменьшилось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C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80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C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январем 2023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8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</w:t>
      </w:r>
      <w:r w:rsidR="006F4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6C4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80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6C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6C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F71392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1A2C7A" wp14:editId="702A976F">
            <wp:extent cx="6152515" cy="355346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="001B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80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обращениях, запросах и сообщениях содержится </w:t>
      </w:r>
      <w:r w:rsidR="00780B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33</w:t>
      </w:r>
      <w:r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</w:t>
      </w:r>
      <w:r w:rsidR="004863A9"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CE1B53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53" w:rsidRDefault="00CE1B53" w:rsidP="00CE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4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CE1B53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537C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2537C" w:rsidRPr="001B076B" w:rsidRDefault="00780B16" w:rsidP="00780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(2 %)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2537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37C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72537C" w:rsidRPr="001B076B" w:rsidRDefault="00780B16" w:rsidP="00BD72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(6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72537C" w:rsidRPr="001B076B" w:rsidRDefault="00780B16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72537C" w:rsidRPr="00DE5C7F" w:rsidRDefault="00780B16" w:rsidP="00F23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(</w:t>
            </w:r>
            <w:r w:rsidR="003F2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72537C" w:rsidRPr="00DE5C7F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(9 %)</w:t>
            </w:r>
          </w:p>
        </w:tc>
        <w:tc>
          <w:tcPr>
            <w:tcW w:w="1349" w:type="dxa"/>
          </w:tcPr>
          <w:p w:rsidR="0072537C" w:rsidRPr="00DE5C7F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72537C" w:rsidRPr="001B076B" w:rsidRDefault="00780B16" w:rsidP="0008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72537C" w:rsidRPr="001B076B" w:rsidRDefault="0072537C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72537C" w:rsidRPr="001B076B" w:rsidRDefault="003F2BEE" w:rsidP="003F2B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80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(89 %)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72537C" w:rsidRPr="001B076B" w:rsidRDefault="003F2BE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72537C" w:rsidRPr="001B076B" w:rsidRDefault="003F2BE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72537C" w:rsidRPr="001B076B" w:rsidRDefault="00780B16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2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72537C" w:rsidRPr="001B076B" w:rsidRDefault="0072537C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72537C" w:rsidRPr="001B076B" w:rsidRDefault="00780B16" w:rsidP="009F12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2537C" w:rsidRPr="001B076B" w:rsidRDefault="0072537C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72537C" w:rsidRPr="001B076B" w:rsidRDefault="003F2BEE" w:rsidP="00644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2537C" w:rsidRPr="001B076B" w:rsidRDefault="0072537C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72537C" w:rsidRPr="001B076B" w:rsidRDefault="003F2BEE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72537C" w:rsidRPr="001B076B" w:rsidRDefault="0072537C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2537C" w:rsidRPr="001B076B" w:rsidTr="007B2097">
        <w:tc>
          <w:tcPr>
            <w:tcW w:w="764" w:type="dxa"/>
          </w:tcPr>
          <w:p w:rsidR="0072537C" w:rsidRPr="001B076B" w:rsidRDefault="0072537C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72537C" w:rsidRDefault="0072537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72537C" w:rsidRPr="0068402E" w:rsidRDefault="0072537C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72537C" w:rsidRDefault="0072537C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72537C" w:rsidRDefault="0072537C" w:rsidP="009F1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72537C" w:rsidRPr="005B39BA" w:rsidRDefault="0072537C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72537C" w:rsidRPr="00BF6020" w:rsidRDefault="003F2BEE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72537C" w:rsidRDefault="0072537C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3F2BEE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537C" w:rsidRDefault="0072537C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3F2BEE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537C" w:rsidRDefault="0072537C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BEE" w:rsidRPr="00CC6A50" w:rsidRDefault="003F2BEE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2537C" w:rsidRPr="00BF6020" w:rsidRDefault="0072537C" w:rsidP="00525E2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  <w:p w:rsidR="0072537C" w:rsidRDefault="0072537C" w:rsidP="00525E2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Pr="00CC6A50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2537C" w:rsidRPr="00BF6020" w:rsidRDefault="0072537C" w:rsidP="00525E2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72537C" w:rsidRDefault="0072537C" w:rsidP="00525E20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537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37C" w:rsidRPr="009511EC" w:rsidRDefault="0072537C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DD78D1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7BBD8D" wp14:editId="4D23A3B0">
            <wp:extent cx="6152515" cy="3405505"/>
            <wp:effectExtent l="0" t="0" r="1968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CE1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Январе 2024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DD78D1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F2D57A" wp14:editId="58164508">
            <wp:extent cx="5878830" cy="34594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DD78D1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EC3992" wp14:editId="250104F3">
            <wp:extent cx="6096000" cy="4196715"/>
            <wp:effectExtent l="0" t="0" r="19050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9518B" w:rsidRPr="001B076B" w:rsidRDefault="0039518B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676" w:type="dxa"/>
          </w:tcPr>
          <w:p w:rsidR="0039518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CE1B53" w:rsidTr="0039518B">
        <w:tc>
          <w:tcPr>
            <w:tcW w:w="2676" w:type="dxa"/>
          </w:tcPr>
          <w:p w:rsidR="00CE1B53" w:rsidRPr="0039518B" w:rsidRDefault="00CE1B53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CE1B53" w:rsidRPr="00AC3101" w:rsidRDefault="001E3144" w:rsidP="001E3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76" w:type="dxa"/>
          </w:tcPr>
          <w:p w:rsidR="00CE1B53" w:rsidRPr="00AC3101" w:rsidRDefault="00CE1B53" w:rsidP="00525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76" w:type="dxa"/>
          </w:tcPr>
          <w:p w:rsidR="00CE1B53" w:rsidRPr="00AC3101" w:rsidRDefault="00CE1B53" w:rsidP="007253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25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E1B53" w:rsidTr="0039518B">
        <w:tc>
          <w:tcPr>
            <w:tcW w:w="2676" w:type="dxa"/>
          </w:tcPr>
          <w:p w:rsidR="00CE1B53" w:rsidRPr="0039518B" w:rsidRDefault="00CE1B5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CE1B53" w:rsidRPr="0039518B" w:rsidRDefault="001E3144" w:rsidP="001E31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E1B53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E1B53"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CE1B53" w:rsidRPr="0039518B" w:rsidRDefault="00CE1B53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CE1B53" w:rsidRPr="0039518B" w:rsidRDefault="00CE1B53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25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CE1B53" w:rsidTr="0039518B">
        <w:tc>
          <w:tcPr>
            <w:tcW w:w="2676" w:type="dxa"/>
          </w:tcPr>
          <w:p w:rsidR="00CE1B53" w:rsidRPr="0039518B" w:rsidRDefault="00CE1B5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CE1B53" w:rsidRPr="0039518B" w:rsidRDefault="00CE1B53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E1B53" w:rsidRPr="0039518B" w:rsidRDefault="00CE1B53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E1B53" w:rsidRPr="0039518B" w:rsidRDefault="00CE1B53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1B53" w:rsidTr="0039518B">
        <w:tc>
          <w:tcPr>
            <w:tcW w:w="2676" w:type="dxa"/>
          </w:tcPr>
          <w:p w:rsidR="00CE1B53" w:rsidRPr="0039518B" w:rsidRDefault="00CE1B5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CE1B53" w:rsidRPr="0039518B" w:rsidRDefault="00CE1B53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E1B53" w:rsidRPr="0039518B" w:rsidRDefault="00CE1B53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E1B53" w:rsidRPr="0039518B" w:rsidRDefault="0072537C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1B53" w:rsidTr="0039518B">
        <w:tc>
          <w:tcPr>
            <w:tcW w:w="2676" w:type="dxa"/>
          </w:tcPr>
          <w:p w:rsidR="00CE1B53" w:rsidRPr="0039518B" w:rsidRDefault="00CE1B53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CE1B53" w:rsidRPr="0039518B" w:rsidRDefault="001E3144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CE1B53" w:rsidRPr="0039518B" w:rsidRDefault="00CE1B53" w:rsidP="0052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(3%)</w:t>
            </w:r>
          </w:p>
        </w:tc>
        <w:tc>
          <w:tcPr>
            <w:tcW w:w="2676" w:type="dxa"/>
          </w:tcPr>
          <w:p w:rsidR="00CE1B53" w:rsidRPr="0039518B" w:rsidRDefault="0072537C" w:rsidP="00725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534F" w:rsidRPr="00375BD9" w:rsidRDefault="00254DB7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A88228" wp14:editId="219629E6">
            <wp:extent cx="5878830" cy="3337559"/>
            <wp:effectExtent l="0" t="0" r="762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  <w:r w:rsidR="009D50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8" type="#_x0000_t202" style="position:absolute;margin-left:113.45pt;margin-top:171.6pt;width:50.4pt;height:24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5dJwIAAKgEAAAOAAAAZHJzL2Uyb0RvYy54bWysVMtu2zAQvBfoPxC8N5KdOEgMywGaIL0U&#10;TdEkH0BTpEWUr5KMJffrO6RsOUhPKaoDRe1jdnd2V6ubwWiyEyEqZxs6O6spEZa7VtltQ5+f7j9d&#10;URITsy3TzoqG7kWkN+uPH1a9X4q565xuRSAAsXHZ+4Z2KfllVUXeCcPimfPCQildMCzhM2yrNrAe&#10;6EZX87q+rHoXWh8cFzFCejcq6brgSyl4epAyikR0Q5FbKmco5yaf1XrFltvAfKf4IQ32D1kYpiyC&#10;TlB3LDHyEtRfUEbx4KKT6Yw7UzkpFRelBlQzq99U89gxL0otICf6iab4/2D5t933QFTb0EtKLDNo&#10;0ZMY0mc3kEUmp/dxCZtHD6s0QIwmH+URwlzzIIPJb1RDoAfN+4laYBEO4cX14ryGhkN1Xl9c4Q70&#10;6uTsQ0xfhDMkXxoa0LlCKNt9jWk0PZrkWNbdK61L97QlfUOvF/MF4I1HKdFui290WrXZLnuUkRK3&#10;OpAdwzDoNBttOtaKUbSo8RzSmqxLkq+AkLK2EGZiRgLKLe21yFG0/SEk+Cw8jGHDdpOjjkOHrQAL&#10;x9ErYHDIhhJ5vtP34JK9RZn1d/pPTiW+s2nyN8q6MPKTN/FEW/uztB+Jy9H+SMVIQOYiDZvhMDkb&#10;1+4xOPg/pAccUjt0imvlKelc+P1W1mMP0b1fLywISkLSt25cW2Y57BuaSndyEKxD6cxhdfO+vf4u&#10;WZ1+MOs/AAAA//8DAFBLAwQUAAYACAAAACEA0BsaHtkAAAADAQAADwAAAGRycy9kb3ducmV2Lnht&#10;bEyPQUvDQBCF70L/wzIFb3bTWrWk2ZQieBAEsebgcbM7JqHZ2bC7TeK/d/Silxkeb3jzveIwu16M&#10;GGLnScF6lYFAMt521Cio3p9udiBi0mR17wkVfGGEQ7m4KnRu/URvOJ5SIziEYq4VtCkNuZTRtOh0&#10;XPkBib1PH5xOLEMjbdATh7tebrLsXjrdEX9o9YCPLZrz6eIUvNzW1bkxod5+PL9msxn93VR5pa6X&#10;83EPIuGc/o7hB5/RoWSm2l/IRtEr4CLpd7L3sGNVK9jylmUh/7OX3wAAAP//AwBQSwECLQAUAAYA&#10;CAAAACEAtoM4kv4AAADhAQAAEwAAAAAAAAAAAAAAAAAAAAAAW0NvbnRlbnRfVHlwZXNdLnhtbFBL&#10;AQItABQABgAIAAAAIQA4/SH/1gAAAJQBAAALAAAAAAAAAAAAAAAAAC8BAABfcmVscy8ucmVsc1BL&#10;AQItABQABgAIAAAAIQA4KO5dJwIAAKgEAAAOAAAAAAAAAAAAAAAAAC4CAABkcnMvZTJvRG9jLnht&#10;bFBLAQItABQABgAIAAAAIQDQGxoe2QAAAAMBAAAPAAAAAAAAAAAAAAAAAIEEAABkcnMvZG93bnJl&#10;di54bWxQSwUGAAAAAAQABADzAAAAhwUAAAAA&#10;" filled="f" strokecolor="#7f7f7f [1601]">
            <v:textbox>
              <w:txbxContent>
                <w:p w:rsidR="009B4914" w:rsidRPr="00375BD9" w:rsidRDefault="00F83A41" w:rsidP="009B4914">
                  <w:pPr>
                    <w:pStyle w:val="a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+30</w:t>
                  </w:r>
                  <w:r w:rsidR="0094358F">
                    <w:rPr>
                      <w:rFonts w:asciiTheme="minorHAnsi" w:hAnsi="Calibri" w:cstheme="minorBidi"/>
                      <w:b/>
                      <w:color w:val="000000" w:themeColor="dark1"/>
                      <w:sz w:val="22"/>
                      <w:szCs w:val="22"/>
                    </w:rPr>
                    <w:t>%</w:t>
                  </w:r>
                </w:p>
              </w:txbxContent>
            </v:textbox>
          </v:shape>
        </w:pict>
      </w:r>
    </w:p>
    <w:p w:rsidR="00423045" w:rsidRDefault="00F83A4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03D11A" wp14:editId="26132963">
            <wp:extent cx="4572000" cy="27432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65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65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</w:t>
      </w:r>
      <w:r w:rsidR="008C4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CE4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E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890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2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A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5F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5F9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E1B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2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5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2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1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E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1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1B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3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4B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25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4C087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76" w:rsidRDefault="00F83A4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B1CFF4" wp14:editId="0BD2200F">
            <wp:extent cx="4572000" cy="27432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F83A41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7480F0" wp14:editId="4AC876B9">
            <wp:extent cx="6067425" cy="3968115"/>
            <wp:effectExtent l="0" t="0" r="9525" b="1333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8A" w:rsidRDefault="009D508A" w:rsidP="00C65E22">
      <w:pPr>
        <w:spacing w:after="0" w:line="240" w:lineRule="auto"/>
      </w:pPr>
      <w:r>
        <w:separator/>
      </w:r>
    </w:p>
  </w:endnote>
  <w:endnote w:type="continuationSeparator" w:id="0">
    <w:p w:rsidR="009D508A" w:rsidRDefault="009D508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8A" w:rsidRDefault="009D508A" w:rsidP="00C65E22">
      <w:pPr>
        <w:spacing w:after="0" w:line="240" w:lineRule="auto"/>
      </w:pPr>
      <w:r>
        <w:separator/>
      </w:r>
    </w:p>
  </w:footnote>
  <w:footnote w:type="continuationSeparator" w:id="0">
    <w:p w:rsidR="009D508A" w:rsidRDefault="009D508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D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40800"/>
    <w:rsid w:val="00042799"/>
    <w:rsid w:val="00042DD7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AEE"/>
    <w:rsid w:val="000758FB"/>
    <w:rsid w:val="00076E01"/>
    <w:rsid w:val="000818D6"/>
    <w:rsid w:val="00082AEE"/>
    <w:rsid w:val="00082BCA"/>
    <w:rsid w:val="00082BD9"/>
    <w:rsid w:val="00083476"/>
    <w:rsid w:val="00085706"/>
    <w:rsid w:val="0008667F"/>
    <w:rsid w:val="00086687"/>
    <w:rsid w:val="000868A6"/>
    <w:rsid w:val="00092882"/>
    <w:rsid w:val="00095957"/>
    <w:rsid w:val="0009680C"/>
    <w:rsid w:val="000A25E6"/>
    <w:rsid w:val="000A2689"/>
    <w:rsid w:val="000A2C2D"/>
    <w:rsid w:val="000A4134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D28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983"/>
    <w:rsid w:val="0019674F"/>
    <w:rsid w:val="0019767A"/>
    <w:rsid w:val="001A7DB6"/>
    <w:rsid w:val="001A7E46"/>
    <w:rsid w:val="001B076B"/>
    <w:rsid w:val="001B197A"/>
    <w:rsid w:val="001B2393"/>
    <w:rsid w:val="001B3A84"/>
    <w:rsid w:val="001B5915"/>
    <w:rsid w:val="001C12D3"/>
    <w:rsid w:val="001C4049"/>
    <w:rsid w:val="001C4F44"/>
    <w:rsid w:val="001C5A5E"/>
    <w:rsid w:val="001D16BB"/>
    <w:rsid w:val="001D1D2A"/>
    <w:rsid w:val="001D2F81"/>
    <w:rsid w:val="001D605F"/>
    <w:rsid w:val="001E0672"/>
    <w:rsid w:val="001E3144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4711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3D3F"/>
    <w:rsid w:val="00254DB7"/>
    <w:rsid w:val="0025522F"/>
    <w:rsid w:val="00256B34"/>
    <w:rsid w:val="00257CAE"/>
    <w:rsid w:val="002616CD"/>
    <w:rsid w:val="0026257B"/>
    <w:rsid w:val="00264728"/>
    <w:rsid w:val="00266F61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4B17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5A68"/>
    <w:rsid w:val="002E6E78"/>
    <w:rsid w:val="002E7CA0"/>
    <w:rsid w:val="002F00E2"/>
    <w:rsid w:val="002F43EA"/>
    <w:rsid w:val="002F652B"/>
    <w:rsid w:val="002F716F"/>
    <w:rsid w:val="002F7C70"/>
    <w:rsid w:val="00301C7E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2BEE"/>
    <w:rsid w:val="003F4CA4"/>
    <w:rsid w:val="003F4D36"/>
    <w:rsid w:val="004025E8"/>
    <w:rsid w:val="004048ED"/>
    <w:rsid w:val="004052DE"/>
    <w:rsid w:val="00405E94"/>
    <w:rsid w:val="00411222"/>
    <w:rsid w:val="00411C65"/>
    <w:rsid w:val="004145A1"/>
    <w:rsid w:val="00414D13"/>
    <w:rsid w:val="0041745A"/>
    <w:rsid w:val="004202D1"/>
    <w:rsid w:val="00423045"/>
    <w:rsid w:val="00423EA4"/>
    <w:rsid w:val="00425239"/>
    <w:rsid w:val="00427356"/>
    <w:rsid w:val="00427844"/>
    <w:rsid w:val="00427FE2"/>
    <w:rsid w:val="004301D3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863A9"/>
    <w:rsid w:val="004919B5"/>
    <w:rsid w:val="00493F6E"/>
    <w:rsid w:val="00494A67"/>
    <w:rsid w:val="0049606D"/>
    <w:rsid w:val="00496613"/>
    <w:rsid w:val="004A2FDC"/>
    <w:rsid w:val="004A3CB4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61EC4"/>
    <w:rsid w:val="00561FB9"/>
    <w:rsid w:val="00562AAC"/>
    <w:rsid w:val="005638D0"/>
    <w:rsid w:val="00564A9F"/>
    <w:rsid w:val="00565E4D"/>
    <w:rsid w:val="00566541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11CDC"/>
    <w:rsid w:val="0061396C"/>
    <w:rsid w:val="00613E1C"/>
    <w:rsid w:val="00614615"/>
    <w:rsid w:val="00614D95"/>
    <w:rsid w:val="006158CF"/>
    <w:rsid w:val="00620912"/>
    <w:rsid w:val="0062172C"/>
    <w:rsid w:val="0062175F"/>
    <w:rsid w:val="00623C34"/>
    <w:rsid w:val="00625EF0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3455"/>
    <w:rsid w:val="006C3832"/>
    <w:rsid w:val="006C3E8B"/>
    <w:rsid w:val="006C4862"/>
    <w:rsid w:val="006C4B7C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37C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80B16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420A"/>
    <w:rsid w:val="007D4333"/>
    <w:rsid w:val="007D474F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AD"/>
    <w:rsid w:val="00801CF6"/>
    <w:rsid w:val="00801F43"/>
    <w:rsid w:val="00802A78"/>
    <w:rsid w:val="008065BF"/>
    <w:rsid w:val="00811C62"/>
    <w:rsid w:val="00811E7A"/>
    <w:rsid w:val="0081234D"/>
    <w:rsid w:val="0081665F"/>
    <w:rsid w:val="008215BA"/>
    <w:rsid w:val="00821C08"/>
    <w:rsid w:val="00821FBB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1BC1"/>
    <w:rsid w:val="008B5593"/>
    <w:rsid w:val="008B6063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59F5"/>
    <w:rsid w:val="0093613D"/>
    <w:rsid w:val="00942333"/>
    <w:rsid w:val="0094358F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A9E"/>
    <w:rsid w:val="009906E6"/>
    <w:rsid w:val="009933D8"/>
    <w:rsid w:val="00996B29"/>
    <w:rsid w:val="009A0613"/>
    <w:rsid w:val="009A41FE"/>
    <w:rsid w:val="009A6DF0"/>
    <w:rsid w:val="009B4914"/>
    <w:rsid w:val="009B6C9B"/>
    <w:rsid w:val="009C164A"/>
    <w:rsid w:val="009C16AF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508A"/>
    <w:rsid w:val="009D62C6"/>
    <w:rsid w:val="009D6F14"/>
    <w:rsid w:val="009D7944"/>
    <w:rsid w:val="009E1BF8"/>
    <w:rsid w:val="009E5D13"/>
    <w:rsid w:val="009E7C05"/>
    <w:rsid w:val="009F124F"/>
    <w:rsid w:val="009F1291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2235"/>
    <w:rsid w:val="00A95604"/>
    <w:rsid w:val="00AA0E7F"/>
    <w:rsid w:val="00AA44DB"/>
    <w:rsid w:val="00AA509F"/>
    <w:rsid w:val="00AA6913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D58"/>
    <w:rsid w:val="00AF1FB3"/>
    <w:rsid w:val="00AF3F0B"/>
    <w:rsid w:val="00AF4C72"/>
    <w:rsid w:val="00AF647A"/>
    <w:rsid w:val="00B00CED"/>
    <w:rsid w:val="00B05013"/>
    <w:rsid w:val="00B06FB7"/>
    <w:rsid w:val="00B102DA"/>
    <w:rsid w:val="00B11CA7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9B2"/>
    <w:rsid w:val="00B33D12"/>
    <w:rsid w:val="00B35708"/>
    <w:rsid w:val="00B359BE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65F9A"/>
    <w:rsid w:val="00B71346"/>
    <w:rsid w:val="00B734AF"/>
    <w:rsid w:val="00B737C5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494"/>
    <w:rsid w:val="00C67FAD"/>
    <w:rsid w:val="00C700D6"/>
    <w:rsid w:val="00C7096E"/>
    <w:rsid w:val="00C71BFB"/>
    <w:rsid w:val="00C7281D"/>
    <w:rsid w:val="00C73A80"/>
    <w:rsid w:val="00C73E54"/>
    <w:rsid w:val="00C8084B"/>
    <w:rsid w:val="00C821B5"/>
    <w:rsid w:val="00C83EAA"/>
    <w:rsid w:val="00C87D9C"/>
    <w:rsid w:val="00C909DE"/>
    <w:rsid w:val="00C90ED3"/>
    <w:rsid w:val="00C9100C"/>
    <w:rsid w:val="00C923E5"/>
    <w:rsid w:val="00C93095"/>
    <w:rsid w:val="00C93693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1B53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F26"/>
    <w:rsid w:val="00D4407C"/>
    <w:rsid w:val="00D44DC2"/>
    <w:rsid w:val="00D463CD"/>
    <w:rsid w:val="00D47E7F"/>
    <w:rsid w:val="00D5102C"/>
    <w:rsid w:val="00D52E20"/>
    <w:rsid w:val="00D533F8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2736"/>
    <w:rsid w:val="00D92DEF"/>
    <w:rsid w:val="00D97544"/>
    <w:rsid w:val="00DA1C7B"/>
    <w:rsid w:val="00DA1E96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D78D1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3D07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1BB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1392"/>
    <w:rsid w:val="00F7271B"/>
    <w:rsid w:val="00F740CF"/>
    <w:rsid w:val="00F7485B"/>
    <w:rsid w:val="00F80DBD"/>
    <w:rsid w:val="00F83016"/>
    <w:rsid w:val="00F8350D"/>
    <w:rsid w:val="00F83A41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32</c:v>
                </c:pt>
                <c:pt idx="1">
                  <c:v>26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</c:v>
                </c:pt>
                <c:pt idx="1">
                  <c:v>37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9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61051648"/>
        <c:axId val="366060672"/>
        <c:axId val="0"/>
      </c:bar3DChart>
      <c:catAx>
        <c:axId val="361051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6060672"/>
        <c:crosses val="autoZero"/>
        <c:auto val="1"/>
        <c:lblAlgn val="ctr"/>
        <c:lblOffset val="100"/>
        <c:noMultiLvlLbl val="0"/>
      </c:catAx>
      <c:valAx>
        <c:axId val="366060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0516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2</c:v>
                </c:pt>
                <c:pt idx="2">
                  <c:v>30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46</c:v>
                </c:pt>
                <c:pt idx="1">
                  <c:v>0</c:v>
                </c:pt>
                <c:pt idx="2">
                  <c:v>41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40</c:v>
                </c:pt>
                <c:pt idx="1">
                  <c:v>3</c:v>
                </c:pt>
                <c:pt idx="2">
                  <c:v>33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375629312"/>
        <c:axId val="366062400"/>
      </c:barChart>
      <c:catAx>
        <c:axId val="3756293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6062400"/>
        <c:crosses val="autoZero"/>
        <c:auto val="0"/>
        <c:lblAlgn val="ctr"/>
        <c:lblOffset val="100"/>
        <c:noMultiLvlLbl val="0"/>
      </c:catAx>
      <c:valAx>
        <c:axId val="366062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5629312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4.8896889347029938E-2"/>
                  <c:y val="-4.39612311676899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3.394623842356493E-2"/>
                  <c:y val="-0.33718131048596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0.23148832836957556"/>
                  <c:y val="5.5872558881681642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42720326248079094"/>
                  <c:y val="-0.1420701955207140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0.12463287763041293"/>
                  <c:y val="-0.16726762403598228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</c:v>
                </c:pt>
                <c:pt idx="1">
                  <c:v>30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33</c:v>
                </c:pt>
                <c:pt idx="1">
                  <c:v>26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Гос.дума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361052160"/>
        <c:axId val="366065280"/>
        <c:axId val="0"/>
      </c:bar3DChart>
      <c:catAx>
        <c:axId val="361052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66065280"/>
        <c:crosses val="autoZero"/>
        <c:auto val="1"/>
        <c:lblAlgn val="ctr"/>
        <c:lblOffset val="100"/>
        <c:noMultiLvlLbl val="0"/>
      </c:catAx>
      <c:valAx>
        <c:axId val="366065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0521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472495377481574E-2"/>
                  <c:y val="-5.6214736578439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75628800"/>
        <c:axId val="366067008"/>
        <c:axId val="0"/>
      </c:bar3DChart>
      <c:catAx>
        <c:axId val="37562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66067008"/>
        <c:crosses val="autoZero"/>
        <c:auto val="1"/>
        <c:lblAlgn val="ctr"/>
        <c:lblOffset val="100"/>
        <c:noMultiLvlLbl val="0"/>
      </c:catAx>
      <c:valAx>
        <c:axId val="366067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5628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8362620297462815"/>
                  <c:y val="-1.35987168270633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865299650043743"/>
                  <c:y val="2.32174103237095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Лист1!$A$3:$A$6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-0.2094811898512686"/>
                  <c:y val="1.33391659375911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23507720909886265"/>
                  <c:y val="8.917687372411824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</c:v>
                </c:pt>
                <c:pt idx="1">
                  <c:v>10</c:v>
                </c:pt>
                <c:pt idx="2">
                  <c:v>0</c:v>
                </c:pt>
                <c:pt idx="3">
                  <c:v>15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5630848"/>
        <c:axId val="392801664"/>
        <c:axId val="0"/>
      </c:bar3DChart>
      <c:catAx>
        <c:axId val="37563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2801664"/>
        <c:crosses val="autoZero"/>
        <c:auto val="1"/>
        <c:lblAlgn val="ctr"/>
        <c:lblOffset val="100"/>
        <c:noMultiLvlLbl val="0"/>
      </c:catAx>
      <c:valAx>
        <c:axId val="392801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756308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0.20739</cdr:x>
      <cdr:y>0.41789</cdr:y>
    </cdr:from>
    <cdr:to>
      <cdr:x>0.24498</cdr:x>
      <cdr:y>0.5138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 flipH="1">
          <a:off x="1219200" y="1394460"/>
          <a:ext cx="220980" cy="32004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0.58561</cdr:y>
    </cdr:from>
    <cdr:to>
      <cdr:x>0.28386</cdr:x>
      <cdr:y>0.66908</cdr:y>
    </cdr:to>
    <cdr:cxnSp macro="">
      <cdr:nvCxnSpPr>
        <cdr:cNvPr id="5" name="Прямая со стрелкой 4"/>
        <cdr:cNvCxnSpPr>
          <a:endCxn xmlns:a="http://schemas.openxmlformats.org/drawingml/2006/main" id="8" idx="1"/>
        </cdr:cNvCxnSpPr>
      </cdr:nvCxnSpPr>
      <cdr:spPr>
        <a:xfrm xmlns:a="http://schemas.openxmlformats.org/drawingml/2006/main" flipH="1" flipV="1">
          <a:off x="1261127" y="1954153"/>
          <a:ext cx="407653" cy="278507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2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1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0.21063</cdr:x>
      <cdr:y>0.49087</cdr:y>
    </cdr:from>
    <cdr:to>
      <cdr:x>0.30655</cdr:x>
      <cdr:y>0.56393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238258" y="1638308"/>
          <a:ext cx="563871" cy="2438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/>
            <a:t>- 70%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2A60F3-9646-49F7-8B9B-B7E6D5A4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6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314</cp:revision>
  <cp:lastPrinted>2023-10-10T04:54:00Z</cp:lastPrinted>
  <dcterms:created xsi:type="dcterms:W3CDTF">2018-06-01T07:29:00Z</dcterms:created>
  <dcterms:modified xsi:type="dcterms:W3CDTF">2024-04-24T14:34:00Z</dcterms:modified>
</cp:coreProperties>
</file>