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>Газопровод - Газоснабжение жилых домов от ШРП № 8 в г. Татарске НСО. Газопровод низкого давления, назначение: сооружение коммунального хозяйства, с кадастровым номером 54:37:000000:853, протяженностью 4543 м., расположенный по адресу: Новосибирская область, город Татарск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FA60D0" w:rsidRPr="00FA60D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38 177 (тридцать восемь тысяч сто семьдесят семь) рублей 12 копеек, без учета НДС</w:t>
      </w:r>
      <w:r w:rsidRPr="00FA60D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>Газопровод - Газоснабжение жилых домов от ШРП № 8 в г. Татарске НСО. Газопровод низкого давления, назначение: сооружение коммунального хозяйства, с кадастровым номером 54:37:000000:853, протяженностью 4543 м., расположенный по адресу: Новосибирская область, город Татарск</w:t>
      </w:r>
      <w:proofErr w:type="gramStart"/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алее – Имущество).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FA60D0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>от 06.05.2024 года № 54:37:000000:853-54/163/2024-2.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r w:rsidR="00027218" w:rsidRPr="00027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 - Газоснабжение жилых домов от ШРП № 8 в г. Татарске НСО. Газопровод низкого давления, назначение: сооружение коммунального хозяйства, с кадастровым номером 54:37:000000:853, протяженностью 4543 м., расположенный по адресу: Новосибирская область, город Татарск</w:t>
      </w:r>
      <w:proofErr w:type="gramStart"/>
      <w:r w:rsidR="00027218" w:rsidRPr="00027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Имущество).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6B" w:rsidRDefault="0055496B" w:rsidP="002061B4">
      <w:pPr>
        <w:spacing w:after="0" w:line="240" w:lineRule="auto"/>
      </w:pPr>
      <w:r>
        <w:separator/>
      </w:r>
    </w:p>
  </w:endnote>
  <w:endnote w:type="continuationSeparator" w:id="0">
    <w:p w:rsidR="0055496B" w:rsidRDefault="0055496B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6B" w:rsidRDefault="0055496B" w:rsidP="002061B4">
      <w:pPr>
        <w:spacing w:after="0" w:line="240" w:lineRule="auto"/>
      </w:pPr>
      <w:r>
        <w:separator/>
      </w:r>
    </w:p>
  </w:footnote>
  <w:footnote w:type="continuationSeparator" w:id="0">
    <w:p w:rsidR="0055496B" w:rsidRDefault="0055496B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C2640"/>
    <w:rsid w:val="0013410C"/>
    <w:rsid w:val="002061B4"/>
    <w:rsid w:val="00381A18"/>
    <w:rsid w:val="0055496B"/>
    <w:rsid w:val="00583438"/>
    <w:rsid w:val="00907C1C"/>
    <w:rsid w:val="009A7886"/>
    <w:rsid w:val="00AB7B0C"/>
    <w:rsid w:val="00C9016F"/>
    <w:rsid w:val="00D85227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2</cp:revision>
  <dcterms:created xsi:type="dcterms:W3CDTF">2024-06-02T16:04:00Z</dcterms:created>
  <dcterms:modified xsi:type="dcterms:W3CDTF">2024-06-02T17:08:00Z</dcterms:modified>
</cp:coreProperties>
</file>